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12 146 vom 18. Januar 2013</w:t>
      </w:r>
    </w:p>
    <w:p>
      <w:r>
        <w:t>VS Kantonsgericht, 2013-01-18, FR</w:t>
      </w:r>
    </w:p>
    <w:p>
      <w:r>
        <w:rPr>
          <w:b/>
        </w:rPr>
        <w:t xml:space="preserve">Quelle: </w:t>
      </w:r>
      <w:r>
        <w:t>https://mcp.opencaselaw.ch/entscheid/vs_gerichte_P3 12 146</w:t>
      </w:r>
    </w:p>
    <w:p>
      <w:r>
        <w:t>FR: VS_GERICHTE P3 12 146 du 18 janvier 2013</w:t>
      </w:r>
    </w:p>
    <w:p>
      <w:r>
        <w:t>IT: VS_GERICHTE P3 12 146 del 18 gennaio 2013</w:t>
      </w:r>
    </w:p>
    <w:p>
      <w:pPr>
        <w:pStyle w:val="Heading2"/>
      </w:pPr>
      <w:r>
        <w:t>Regeste</w:t>
      </w:r>
    </w:p>
    <w:p>
      <w:r>
        <w:t>P3 12 146 ORDONNANCE DU 18 JANVIER 2013 Tribunal cantonal du Valais Chambre pénale Jacques Berthouzoz, juge unique ; Frédéric Carron, greffier en la cause pénale X__________, recourant contre l’ordonnance rendue le 14 août 2012 par le Ministère public, intimé (non-entrée en matière ; art. 310 al. 1 let. a CPP)</w:t>
      </w:r>
    </w:p>
    <w:p>
      <w:pPr>
        <w:pStyle w:val="Heading2"/>
      </w:pPr>
      <w:r>
        <w:t>Erwägungen</w:t>
      </w:r>
    </w:p>
    <w:p>
      <w:r>
        <w:rPr>
          <w:b/>
        </w:rPr>
        <w:t>E. 1</w:t>
      </w:r>
    </w:p>
    <w:p>
      <w:r>
        <w:t>let. a CPP, 20 al. 3 LOJ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1.1</w:t>
      </w:r>
    </w:p>
    <w:p>
      <w:r>
        <w:t>Un recours peut être formé devant un juge unique de la Chambre pénale contre l’ordonnance de non-entrée en matière du procureur (art. 310 al. 2, 322 al. 2 et 393 al.</w:t>
      </w:r>
    </w:p>
    <w:p>
      <w:r>
        <w:rPr>
          <w:b/>
        </w:rPr>
        <w:t>E. 1.2</w:t>
      </w:r>
    </w:p>
    <w:p>
      <w:r>
        <w:t>En l’espèce, en tant qu’il s’en prend au refus du procureur substitut d’ouvrir une instruction pour dommages à la propriété (art. 144 CP), X__________ a qualité pour recourir, dès lors qu’il est partie plaignante (art. 104 al. 1 let. b, 118 al. 2, 310 al. 2 et 322 al. 2 CPP) et qu’il a un intérêt juridiquement protégé à l’annulation de l’ordonnance de non-entrée en matière (art. 382 al. 1 CPP). Sur ce point,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 étant précisé que chaque cohéritier peut déposer tout seul plainte pénale lorsqu’une infraction contre le patrimoine est commise à l’encontre d’un bien de la succession (Riedo, Der Strafantrag, 2004, p. 351 et 357). A fortiori, chaque cohéritier peut également recourir tout seul. Tel est bien le cas, au vu de la formulation sans ambiguïté du mémoire de recours. Le recours est en revanche irrecevable, faut de qualité pour recourir (art. 382 al. 1 CPP), dans la mesure où X__________ reproche à la commune municipale de A_________ de percevoir une taxe de parcage, par horodateur, sur des terraines qui ne lui appartiennent pas. En effet, seuls les automobilistes qui ont payé leur place de parc peuvent être directement touchés par l’infraction dénoncée, donc revêtir successivement la qualité de lésés (art. 115 al. 1 CPP), de parties plaignantes (art. 118 al. 1 CPP) et de parties à la procédure (art. 104 al. 1 let. b CPP), à l’exclusion du recourant, lequel est tout au plus membre de la communauté héréditaire propriétaire de deux parcelles utilisées comme places de stationnement (sur la qualité de lésé et la nécessité d’une atteinte en rapport de causalité directe avec l’infraction poursuivie, cf. arrêt 1B_678/2011 du 30 janvier 2012 consid. 2.1 et les références citées).</w:t>
      </w:r>
    </w:p>
    <w:p>
      <w:r>
        <w:t>- 4 -</w:t>
      </w:r>
    </w:p>
    <w:p>
      <w:r>
        <w:rPr>
          <w:b/>
        </w:rPr>
        <w:t>E. 2</w:t>
      </w:r>
    </w:p>
    <w:p>
      <w:r>
        <w:t>2.1.1 Aux termes de l’article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l’article 8 CPP (let. c). Le ministère public doit ainsi être certain que les faits ne sont pas punissables, ce qui est notamment le cas lorsque le litige est d’ordre purement civil (ATF 137 IV 285 consid.</w:t>
      </w:r>
    </w:p>
    <w:p>
      <w:r>
        <w:rPr>
          <w:b/>
        </w:rPr>
        <w:t>E. 2.2</w:t>
      </w:r>
    </w:p>
    <w:p>
      <w:r>
        <w:t>En l’occurrence, dans son ordonnance du 14 août 2012, le procureur substitut justifie son refus d’entrer en matière sur la plainte pénale de X__________ du 2 août 2012 pour dommages à la propriété (art. 144 CP), du fait qu’elle est dirigée contre la commune municipale de A_________, administration communale qui ne peut revêtir la qualité de prévenue, donc être poursuivie pénalement. Une telle motivation ne résiste pas à l’examen. En effet, face à une démarche émanant d’un particulier, le magistrat ne pouvait, sous peine de violer le principe de la bonne foi, se contenter de la désignation erronée utilisée par ce dernier quant à l’auteur de l’infraction dénoncée – la commune de A_________, représentée par son président E_________ et son secrétaire F_________ –, mais devait raisonnablement comprendre sa plainte pénale comme étant dirigée contre le ou les édiles qui sont intervenus dans le dossier du parking de B_________ et qui sont impliqués dans la mise en œuvre des terrassements et aménagements litigieux. A l’évidence, c’est la condamnation de ceux- ci qui est recherchée par le recourant, et non celle de la commune municipale. Il s’ensuit l’admission partielle du recours, l’annulation de l’ordonnance attaquée en tant qu’elle concerne les dommages à la propriété (art. 144 CP) et le retour du dossier au procureur substitut pour enquête sur cette question (art. 397 al. 2 et 3 CPP), étant relevé que la photographie des lieux annexée à la plainte pénale de X__________ laisse à penser que des travaux importants – et non pas seulement des opérations d’entretien – ont été récemment effectués à B_________. A défaut de toute instruction, le dossier est muet sur les circonstances ayant entouré l’exécution des terrassements et aménagements contestés, de même que sur la mise à disposition primitive des nombreuses parcelles servant maintenant de parking. En fonction des résultats qui seront obtenus, le magistrat ouvrira une instruction ou rendra une nouvelle ordonnance de non-entrée en matière.</w:t>
      </w:r>
    </w:p>
    <w:p>
      <w:r>
        <w:rPr>
          <w:b/>
        </w:rPr>
        <w:t>E. 2.3</w:t>
      </w:r>
    </w:p>
    <w:p>
      <w:r>
        <w:t>et les références citées). Il doit tenir compte de l’ensemble des circonstances du cas d’espèce et des intérêts variables qui peuvent se trouver en présence (arrêt 1B_111/2012 du 5 avril 2012 consid. 3.1). Le principe in dubio pro duriore découle du principe de la légalité (art. 5 al. 1 Cst. et 2 al. 2 CPP en relation avec les articles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2.1.2 En vertu de l’article 30 al. 1 CP, si une infraction n’est punie que sur plainte, toute personne lésée peut porter plainte contre l’auteur. La plainte pénale doit être déposée auprès de la police, du ministère public ou de l’autorité pénale compétente en matière de contraventions, par écrit ou oralement. Dans ce dernier cas, elle est consignée au procès-verbal (art. 304 al. 1 CPP). Lorsque le nom de l’auteur est connu, il doit en être fait mention dans la plainte. Déposée valablement contre inconnu ou contre l’un (ou certains) des participants, la plainte vaut aussi contre tous ceux qui, ne serait-ce que durant un laps de temps limité, ont pris part à l’infraction (Stoll, Commentaire romand, Code pénal I, 2009, n. 7 ad art. 30 CP). De même que dans les rapports entre particuliers, une déclaration adressée à l’autorité doit être comprise selon le sens que, de bonne foi, son destinataire doit lui prêter (arrêts 6B_170/2012 du 7 mai 2012 consid. 1.4.2 ; 1C_95/2011 du 6 avril 2011 consid. 3.2). L’administration, en principe mieux versée dans les matières qu’elle doit habituellement traiter, doit prêter aux déclarations des administrés un sens raisonnable, sans s’arrêter aux expressions inexactes utilisées, en particulier lorsqu’elles émanent de profanes (arrêt 1C_95/2011 du 6 avril 2011 consid. 3.2). Il est possible de s’inspirer des règles applicables en matière de droit privé selon lesquelles une déclaration unilatérale permettant l’exercice d’un droit formateur s’interprète selon le principe de la confiance (arrêt 6B_170/2012 du 7 mai 2012 consid. 1.4.2 et l’arrêt cité). En présence d’un litige à ce propos, le juge doit tout d’abord s’efforcer de déterminer la commune et réelle intention des parties, sans s’arrêter aux expressions ou dénominations inexactes dont elles ont pu se servir, notamment par erreur (art. 18 al. 1 CO). Si la volonté réelle des parties ne peut pas être établie ou si leurs volontés intimes divergent, le juge doit interpréter les</w:t>
      </w:r>
    </w:p>
    <w:p>
      <w:r>
        <w:t>- 5 -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et les arrêts cités).</w:t>
      </w:r>
    </w:p>
    <w:p>
      <w:r>
        <w:rPr>
          <w:b/>
        </w:rPr>
        <w:t>E. 3</w:t>
      </w:r>
    </w:p>
    <w:p>
      <w:r>
        <w:t>Il n’est pas alloué d’indemnité pour les dépenses occasionnées par la procédure de recours.</w:t>
      </w:r>
    </w:p>
    <w:p>
      <w:r>
        <w:rPr>
          <w:b/>
        </w:rPr>
        <w:t>E. 3.1</w:t>
      </w:r>
    </w:p>
    <w:p>
      <w:r>
        <w:t>Comme X__________ obtient partiellement gain de cause, les frais de la procédure de recours sont mis pour moitié à sa charge et pour moitié à celle de l’Etat du Valais (art. 416, 421 al. 2 let. c et 428 al. 1 et 4 CPP). L’émolument, qui doit respecter les principes de la couverture des frais et de l’équivalence des prestations, est fixé en fonction notamment de l’ampleur et de la difficulté de la cause (art. 424 al. 1 CPP et 1 al. 1, 13 al. 1 et 2 LTar). Il oscille entre 90 francs et 2000 francs (art. 22 let. g LTar). En l’espèce, eu égard à la complexité de l’affaire inférieure à la moyenne, il est arrêté forfaitairement à 600 francs (art. 424 al. 2 CPP et 11 LTar).</w:t>
      </w:r>
    </w:p>
    <w:p>
      <w:r>
        <w:rPr>
          <w:b/>
        </w:rPr>
        <w:t>E. 3.2</w:t>
      </w:r>
    </w:p>
    <w:p>
      <w:r>
        <w:t>X__________ n’ayant pas dû fournir un travail complexe pour rédiger son mémoire et ses observations complémentaires, il n’a pas droit à une indemnité pour ses dépenses occasionnées par la procédure de recours (art. 429 et 436 al. 1 CPP ;</w:t>
      </w:r>
    </w:p>
    <w:p>
      <w:r>
        <w:t>- 6 - Mizel/Rétornaz, Commentaire romand, Code de procédure pénale suisse, 2011, n. 37 ad art. 429 CPP ; Schmid, Schweizerische Strafprozessordnung, Praxiskommentar, 2009, n. 8 ad art. 429 CPP). Ses débours sont quant à eux insignifiants (art. 430 al. 1 let. c et 436 al. 1 CPP). La même conclusion vaut pour la commune municipale de A_________ relativement à sa détermination.</w:t>
      </w:r>
    </w:p>
    <w:p>
      <w:r>
        <w:t>Prononce</w:t>
      </w:r>
    </w:p>
    <w:p>
      <w:r>
        <w:t>1. Le recours est partiellement admis dans le sens des considérants. 2. Les frais de la procédure de recours, par 600 francs, sont mis pour 300 francs à la charge de X__________ et pour 300 francs à celle de l’Etat du Valais.</w:t>
      </w:r>
    </w:p>
    <w:p>
      <w:r>
        <w:rPr>
          <w:b/>
        </w:rPr>
        <w:t>E. 4</w:t>
      </w:r>
    </w:p>
    <w:p>
      <w:r>
        <w:t>La présente ordonnance est communiquée aux parties.</w:t>
      </w:r>
    </w:p>
    <w:p>
      <w:r>
        <w:t>Sion, le 18 janvier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